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C82" w:rsidRDefault="00E95C82" w:rsidP="00E95C82">
      <w:pPr>
        <w:spacing w:after="0" w:line="240" w:lineRule="auto"/>
        <w:outlineLvl w:val="0"/>
        <w:rPr>
          <w:rFonts w:ascii="Tahoma" w:eastAsia="Times New Roman" w:hAnsi="Tahoma" w:cs="Tahoma"/>
          <w:b/>
          <w:bCs/>
          <w:color w:val="336699"/>
          <w:kern w:val="36"/>
          <w:sz w:val="21"/>
          <w:szCs w:val="21"/>
          <w:lang w:eastAsia="pl-PL"/>
        </w:rPr>
      </w:pPr>
      <w:r w:rsidRPr="00E95C82">
        <w:rPr>
          <w:rFonts w:ascii="Tahoma" w:eastAsia="Times New Roman" w:hAnsi="Tahoma" w:cs="Tahoma"/>
          <w:b/>
          <w:bCs/>
          <w:color w:val="336699"/>
          <w:kern w:val="36"/>
          <w:sz w:val="21"/>
          <w:szCs w:val="21"/>
          <w:lang w:eastAsia="pl-PL"/>
        </w:rPr>
        <w:t>Raport EBI</w:t>
      </w:r>
    </w:p>
    <w:tbl>
      <w:tblPr>
        <w:tblW w:w="85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43"/>
        <w:gridCol w:w="5192"/>
      </w:tblGrid>
      <w:tr w:rsidR="00E95C82" w:rsidRPr="00E95C82" w:rsidTr="00E95C82">
        <w:tc>
          <w:tcPr>
            <w:tcW w:w="0" w:type="auto"/>
            <w:tcBorders>
              <w:bottom w:val="single" w:sz="6" w:space="0" w:color="D3D7D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5C82" w:rsidRPr="00E95C82" w:rsidRDefault="00E95C82" w:rsidP="00E95C82">
            <w:pPr>
              <w:spacing w:after="150" w:line="240" w:lineRule="auto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pl-PL"/>
              </w:rPr>
            </w:pPr>
            <w:r w:rsidRPr="00E95C82">
              <w:rPr>
                <w:rFonts w:ascii="Tahoma" w:eastAsia="Times New Roman" w:hAnsi="Tahoma" w:cs="Tahoma"/>
                <w:color w:val="666666"/>
                <w:sz w:val="17"/>
                <w:szCs w:val="17"/>
                <w:lang w:eastAsia="pl-PL"/>
              </w:rPr>
              <w:t>typ raportu</w:t>
            </w:r>
          </w:p>
        </w:tc>
        <w:tc>
          <w:tcPr>
            <w:tcW w:w="0" w:type="auto"/>
            <w:tcBorders>
              <w:bottom w:val="single" w:sz="6" w:space="0" w:color="D3D7D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5C82" w:rsidRPr="00E95C82" w:rsidRDefault="00E95C82" w:rsidP="00E95C82">
            <w:pPr>
              <w:spacing w:after="150" w:line="240" w:lineRule="auto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666666"/>
                <w:sz w:val="17"/>
                <w:szCs w:val="17"/>
                <w:lang w:eastAsia="pl-PL"/>
              </w:rPr>
              <w:t>Raport Bieżący</w:t>
            </w:r>
          </w:p>
        </w:tc>
      </w:tr>
      <w:tr w:rsidR="00E95C82" w:rsidRPr="00E95C82" w:rsidTr="00E95C82">
        <w:tc>
          <w:tcPr>
            <w:tcW w:w="0" w:type="auto"/>
            <w:tcBorders>
              <w:bottom w:val="single" w:sz="6" w:space="0" w:color="D3D7D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5C82" w:rsidRPr="00E95C82" w:rsidRDefault="00E95C82" w:rsidP="00E95C82">
            <w:pPr>
              <w:spacing w:after="150" w:line="240" w:lineRule="auto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pl-PL"/>
              </w:rPr>
            </w:pPr>
            <w:r w:rsidRPr="00E95C82">
              <w:rPr>
                <w:rFonts w:ascii="Tahoma" w:eastAsia="Times New Roman" w:hAnsi="Tahoma" w:cs="Tahoma"/>
                <w:color w:val="666666"/>
                <w:sz w:val="17"/>
                <w:szCs w:val="17"/>
                <w:lang w:eastAsia="pl-PL"/>
              </w:rPr>
              <w:t>numer</w:t>
            </w:r>
          </w:p>
        </w:tc>
        <w:tc>
          <w:tcPr>
            <w:tcW w:w="0" w:type="auto"/>
            <w:tcBorders>
              <w:bottom w:val="single" w:sz="6" w:space="0" w:color="D3D7D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5C82" w:rsidRPr="00E95C82" w:rsidRDefault="00E95C82" w:rsidP="00E95C82">
            <w:pPr>
              <w:spacing w:after="150" w:line="240" w:lineRule="auto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pl-PL"/>
              </w:rPr>
            </w:pPr>
            <w:r w:rsidRPr="00E95C82">
              <w:rPr>
                <w:rFonts w:ascii="Tahoma" w:eastAsia="Times New Roman" w:hAnsi="Tahoma" w:cs="Tahoma"/>
                <w:color w:val="666666"/>
                <w:sz w:val="17"/>
                <w:szCs w:val="17"/>
                <w:lang w:eastAsia="pl-PL"/>
              </w:rPr>
              <w:t>8/2016</w:t>
            </w:r>
          </w:p>
        </w:tc>
      </w:tr>
      <w:tr w:rsidR="00E95C82" w:rsidRPr="00E95C82" w:rsidTr="00E95C82">
        <w:tc>
          <w:tcPr>
            <w:tcW w:w="0" w:type="auto"/>
            <w:tcBorders>
              <w:bottom w:val="single" w:sz="6" w:space="0" w:color="D3D7D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5C82" w:rsidRPr="00E95C82" w:rsidRDefault="00E95C82" w:rsidP="00E95C82">
            <w:pPr>
              <w:spacing w:after="150" w:line="240" w:lineRule="auto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pl-PL"/>
              </w:rPr>
            </w:pPr>
            <w:r w:rsidRPr="00E95C82">
              <w:rPr>
                <w:rFonts w:ascii="Tahoma" w:eastAsia="Times New Roman" w:hAnsi="Tahoma" w:cs="Tahoma"/>
                <w:color w:val="666666"/>
                <w:sz w:val="17"/>
                <w:szCs w:val="17"/>
                <w:lang w:eastAsia="pl-PL"/>
              </w:rPr>
              <w:t>data dodania</w:t>
            </w:r>
          </w:p>
        </w:tc>
        <w:tc>
          <w:tcPr>
            <w:tcW w:w="0" w:type="auto"/>
            <w:tcBorders>
              <w:bottom w:val="single" w:sz="6" w:space="0" w:color="D3D7D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5C82" w:rsidRPr="00E95C82" w:rsidRDefault="00E95C82" w:rsidP="00E95C82">
            <w:pPr>
              <w:spacing w:after="150" w:line="240" w:lineRule="auto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pl-PL"/>
              </w:rPr>
            </w:pPr>
            <w:r w:rsidRPr="00E95C82">
              <w:rPr>
                <w:rFonts w:ascii="Tahoma" w:eastAsia="Times New Roman" w:hAnsi="Tahoma" w:cs="Tahoma"/>
                <w:color w:val="666666"/>
                <w:sz w:val="17"/>
                <w:szCs w:val="17"/>
                <w:lang w:eastAsia="pl-PL"/>
              </w:rPr>
              <w:t>2016-04-01 21:45:44</w:t>
            </w:r>
          </w:p>
        </w:tc>
      </w:tr>
      <w:tr w:rsidR="00E95C82" w:rsidRPr="00E95C82" w:rsidTr="00E95C82">
        <w:tc>
          <w:tcPr>
            <w:tcW w:w="0" w:type="auto"/>
            <w:tcBorders>
              <w:bottom w:val="single" w:sz="6" w:space="0" w:color="D3D7D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5C82" w:rsidRPr="00E95C82" w:rsidRDefault="00E95C82" w:rsidP="00E95C82">
            <w:pPr>
              <w:spacing w:after="150" w:line="240" w:lineRule="auto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pl-PL"/>
              </w:rPr>
            </w:pPr>
            <w:r w:rsidRPr="00E95C82">
              <w:rPr>
                <w:rFonts w:ascii="Tahoma" w:eastAsia="Times New Roman" w:hAnsi="Tahoma" w:cs="Tahoma"/>
                <w:color w:val="666666"/>
                <w:sz w:val="17"/>
                <w:szCs w:val="17"/>
                <w:lang w:eastAsia="pl-PL"/>
              </w:rPr>
              <w:t>spółka</w:t>
            </w:r>
          </w:p>
        </w:tc>
        <w:tc>
          <w:tcPr>
            <w:tcW w:w="0" w:type="auto"/>
            <w:tcBorders>
              <w:bottom w:val="single" w:sz="6" w:space="0" w:color="D3D7D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5C82" w:rsidRPr="00E95C82" w:rsidRDefault="00E95C82" w:rsidP="00E95C82">
            <w:pPr>
              <w:spacing w:after="150" w:line="240" w:lineRule="auto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pl-PL"/>
              </w:rPr>
            </w:pPr>
            <w:r w:rsidRPr="00E95C82">
              <w:rPr>
                <w:rFonts w:ascii="Tahoma" w:eastAsia="Times New Roman" w:hAnsi="Tahoma" w:cs="Tahoma"/>
                <w:color w:val="666666"/>
                <w:sz w:val="17"/>
                <w:szCs w:val="17"/>
                <w:lang w:eastAsia="pl-PL"/>
              </w:rPr>
              <w:t>M FOOD S.A.</w:t>
            </w:r>
          </w:p>
        </w:tc>
      </w:tr>
    </w:tbl>
    <w:p w:rsidR="00E95C82" w:rsidRDefault="00E95C82" w:rsidP="00E95C82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336699"/>
          <w:sz w:val="17"/>
          <w:szCs w:val="17"/>
          <w:lang w:eastAsia="pl-PL"/>
        </w:rPr>
      </w:pPr>
    </w:p>
    <w:p w:rsidR="00E95C82" w:rsidRPr="00E95C82" w:rsidRDefault="00E95C82" w:rsidP="00E95C82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336699"/>
          <w:sz w:val="17"/>
          <w:szCs w:val="17"/>
          <w:lang w:eastAsia="pl-PL"/>
        </w:rPr>
      </w:pPr>
      <w:r w:rsidRPr="00E95C82">
        <w:rPr>
          <w:rFonts w:ascii="Arial" w:eastAsia="Times New Roman" w:hAnsi="Arial" w:cs="Arial"/>
          <w:b/>
          <w:bCs/>
          <w:color w:val="336699"/>
          <w:sz w:val="17"/>
          <w:szCs w:val="17"/>
          <w:lang w:eastAsia="pl-PL"/>
        </w:rPr>
        <w:t>Zmiana terminu publikacji raportu rocznego</w:t>
      </w:r>
    </w:p>
    <w:p w:rsidR="00E95C82" w:rsidRPr="00E95C82" w:rsidRDefault="00E95C82" w:rsidP="00E95C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5C82">
        <w:rPr>
          <w:rFonts w:ascii="Tahoma" w:eastAsia="Times New Roman" w:hAnsi="Tahoma" w:cs="Tahoma"/>
          <w:color w:val="666666"/>
          <w:sz w:val="17"/>
          <w:szCs w:val="17"/>
          <w:shd w:val="clear" w:color="auto" w:fill="FFFFFF"/>
          <w:lang w:eastAsia="pl-PL"/>
        </w:rPr>
        <w:t>Zarząd M FOOD Spółki Akcyjnej z siedzibą w Łodzi ("Spółka") informuje niniejszym, iż zmianie ulega termin publikacji raportu rocznego za rok 2015. Zgodnie z przekazanym w raporcie bieżącym EBI nr 01/2016 z dnia 28 stycznia 2016 r. harmonogramem publikacji raportów okresowych w 2016 roku, Spółka podała, że raport roczny zostanie opublikowany w dniu 5 kwietnia 2016 roku.</w:t>
      </w:r>
      <w:r w:rsidRPr="00E95C82">
        <w:rPr>
          <w:rFonts w:ascii="Tahoma" w:eastAsia="Times New Roman" w:hAnsi="Tahoma" w:cs="Tahoma"/>
          <w:color w:val="666666"/>
          <w:sz w:val="17"/>
          <w:szCs w:val="17"/>
          <w:lang w:eastAsia="pl-PL"/>
        </w:rPr>
        <w:br/>
      </w:r>
      <w:r w:rsidRPr="00E95C82">
        <w:rPr>
          <w:rFonts w:ascii="Tahoma" w:eastAsia="Times New Roman" w:hAnsi="Tahoma" w:cs="Tahoma"/>
          <w:color w:val="666666"/>
          <w:sz w:val="17"/>
          <w:szCs w:val="17"/>
          <w:shd w:val="clear" w:color="auto" w:fill="FFFFFF"/>
          <w:lang w:eastAsia="pl-PL"/>
        </w:rPr>
        <w:t>Nowy termin przekazania do publicznej informacji raportu rocznego za rok obrotowy 2015 to 28 kwietnia 2016r </w:t>
      </w:r>
      <w:r w:rsidRPr="00E95C82">
        <w:rPr>
          <w:rFonts w:ascii="Tahoma" w:eastAsia="Times New Roman" w:hAnsi="Tahoma" w:cs="Tahoma"/>
          <w:color w:val="666666"/>
          <w:sz w:val="17"/>
          <w:szCs w:val="17"/>
          <w:lang w:eastAsia="pl-PL"/>
        </w:rPr>
        <w:br/>
      </w:r>
      <w:r w:rsidRPr="00E95C82">
        <w:rPr>
          <w:rFonts w:ascii="Tahoma" w:eastAsia="Times New Roman" w:hAnsi="Tahoma" w:cs="Tahoma"/>
          <w:color w:val="666666"/>
          <w:sz w:val="17"/>
          <w:szCs w:val="17"/>
          <w:shd w:val="clear" w:color="auto" w:fill="FFFFFF"/>
          <w:lang w:eastAsia="pl-PL"/>
        </w:rPr>
        <w:t>Jednocześnie Emitent informuje, że terminy publikacji pozostałych raportów okresowych w 2016 roku, przekazane raportem EBI nr 01/2016 z dnia 28 stycznia 2016 r. nie ulegają zmianie, a ewentualne korekty dat będą przekazywane przez Emitenta w formie raportów bieżących.</w:t>
      </w:r>
      <w:r w:rsidRPr="00E95C82">
        <w:rPr>
          <w:rFonts w:ascii="Tahoma" w:eastAsia="Times New Roman" w:hAnsi="Tahoma" w:cs="Tahoma"/>
          <w:color w:val="666666"/>
          <w:sz w:val="17"/>
          <w:szCs w:val="17"/>
          <w:lang w:eastAsia="pl-PL"/>
        </w:rPr>
        <w:br/>
      </w:r>
      <w:r w:rsidRPr="00E95C82">
        <w:rPr>
          <w:rFonts w:ascii="Tahoma" w:eastAsia="Times New Roman" w:hAnsi="Tahoma" w:cs="Tahoma"/>
          <w:color w:val="666666"/>
          <w:sz w:val="17"/>
          <w:szCs w:val="17"/>
          <w:lang w:eastAsia="pl-PL"/>
        </w:rPr>
        <w:br/>
      </w:r>
      <w:r w:rsidRPr="00E95C82">
        <w:rPr>
          <w:rFonts w:ascii="Tahoma" w:eastAsia="Times New Roman" w:hAnsi="Tahoma" w:cs="Tahoma"/>
          <w:color w:val="666666"/>
          <w:sz w:val="17"/>
          <w:szCs w:val="17"/>
          <w:shd w:val="clear" w:color="auto" w:fill="FFFFFF"/>
          <w:lang w:eastAsia="pl-PL"/>
        </w:rPr>
        <w:t>Podstawa prawna: § 6 ust. 14.2 Załącznika nr 3 do Regulaminu Alternatywnego Systemu Obrotu "Informacje bieżące i okresowe przekazywane w alternatywnym systemie obrotu na rynku New Connect"</w:t>
      </w:r>
      <w:r w:rsidRPr="00E95C82">
        <w:rPr>
          <w:rFonts w:ascii="Tahoma" w:eastAsia="Times New Roman" w:hAnsi="Tahoma" w:cs="Tahoma"/>
          <w:color w:val="666666"/>
          <w:sz w:val="17"/>
          <w:szCs w:val="17"/>
          <w:lang w:eastAsia="pl-PL"/>
        </w:rPr>
        <w:br/>
      </w:r>
      <w:r w:rsidRPr="00E95C82">
        <w:rPr>
          <w:rFonts w:ascii="Tahoma" w:eastAsia="Times New Roman" w:hAnsi="Tahoma" w:cs="Tahoma"/>
          <w:color w:val="666666"/>
          <w:sz w:val="17"/>
          <w:szCs w:val="17"/>
          <w:lang w:eastAsia="pl-PL"/>
        </w:rPr>
        <w:br/>
      </w:r>
      <w:r w:rsidRPr="00E95C82">
        <w:rPr>
          <w:rFonts w:ascii="Tahoma" w:eastAsia="Times New Roman" w:hAnsi="Tahoma" w:cs="Tahoma"/>
          <w:color w:val="666666"/>
          <w:sz w:val="17"/>
          <w:szCs w:val="17"/>
          <w:lang w:eastAsia="pl-PL"/>
        </w:rPr>
        <w:br/>
      </w:r>
    </w:p>
    <w:p w:rsidR="00E95C82" w:rsidRPr="00E95C82" w:rsidRDefault="00E95C82" w:rsidP="00E95C82">
      <w:pPr>
        <w:spacing w:after="0" w:line="270" w:lineRule="atLeast"/>
        <w:rPr>
          <w:rFonts w:ascii="Tahoma" w:eastAsia="Times New Roman" w:hAnsi="Tahoma" w:cs="Tahoma"/>
          <w:color w:val="666666"/>
          <w:sz w:val="17"/>
          <w:szCs w:val="17"/>
          <w:lang w:eastAsia="pl-PL"/>
        </w:rPr>
      </w:pPr>
      <w:r w:rsidRPr="00E95C82">
        <w:rPr>
          <w:rFonts w:ascii="Tahoma" w:eastAsia="Times New Roman" w:hAnsi="Tahoma" w:cs="Tahoma"/>
          <w:b/>
          <w:bCs/>
          <w:color w:val="666666"/>
          <w:sz w:val="17"/>
          <w:szCs w:val="17"/>
          <w:lang w:eastAsia="pl-PL"/>
        </w:rPr>
        <w:t>Osoby reprezentujące spółkę:</w:t>
      </w:r>
    </w:p>
    <w:p w:rsidR="00E95C82" w:rsidRPr="00E95C82" w:rsidRDefault="00E95C82" w:rsidP="00E95C82">
      <w:pPr>
        <w:numPr>
          <w:ilvl w:val="0"/>
          <w:numId w:val="1"/>
        </w:numPr>
        <w:spacing w:after="0" w:line="240" w:lineRule="auto"/>
        <w:ind w:left="0"/>
        <w:rPr>
          <w:rFonts w:ascii="Tahoma" w:eastAsia="Times New Roman" w:hAnsi="Tahoma" w:cs="Tahoma"/>
          <w:color w:val="666666"/>
          <w:sz w:val="17"/>
          <w:szCs w:val="17"/>
          <w:lang w:eastAsia="pl-PL"/>
        </w:rPr>
      </w:pPr>
      <w:r w:rsidRPr="00E95C82">
        <w:rPr>
          <w:rFonts w:ascii="Tahoma" w:eastAsia="Times New Roman" w:hAnsi="Tahoma" w:cs="Tahoma"/>
          <w:color w:val="666666"/>
          <w:sz w:val="17"/>
          <w:szCs w:val="17"/>
          <w:lang w:eastAsia="pl-PL"/>
        </w:rPr>
        <w:t>Jerzy Gądek - Prezes Zarządu</w:t>
      </w:r>
    </w:p>
    <w:p w:rsidR="005C253A" w:rsidRDefault="005C253A">
      <w:bookmarkStart w:id="0" w:name="_GoBack"/>
      <w:bookmarkEnd w:id="0"/>
    </w:p>
    <w:sectPr w:rsidR="005C25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071F8"/>
    <w:multiLevelType w:val="multilevel"/>
    <w:tmpl w:val="0F00B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C82"/>
    <w:rsid w:val="005C253A"/>
    <w:rsid w:val="00E95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0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Kucharska</dc:creator>
  <cp:lastModifiedBy>Jolanta Kucharska</cp:lastModifiedBy>
  <cp:revision>1</cp:revision>
  <dcterms:created xsi:type="dcterms:W3CDTF">2016-04-28T12:53:00Z</dcterms:created>
  <dcterms:modified xsi:type="dcterms:W3CDTF">2016-04-28T12:54:00Z</dcterms:modified>
</cp:coreProperties>
</file>